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发展经济学前沿问题</w:t>
      </w:r>
    </w:p>
    <w:p>
      <w:r>
        <w:rPr>
          <w:rFonts w:ascii="宋体" w:hAnsi="宋体" w:eastAsia="宋体"/>
          <w:sz w:val="24"/>
        </w:rPr>
        <w:t>（英）V.N.巴拉舒伯拉曼雅姆（V.N.Balasubramanyam），（英）桑加亚·拉尔（Sanjaya Lall）主编；梁小民译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（英）V.N.巴拉舒伯拉曼雅姆（V.N.Balasubramanyam），（英）桑加亚·拉尔（Sanjaya Lall）主编；梁小民译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本书出售、求购地址：https://www.jiaokey.com/book/detail/10850370.html</w:t>
      </w:r>
    </w:p>
    <w:p>
      <w:r>
        <w:t>更多相关图书推荐：https://www.jiaokey.com</w:t>
      </w:r>
    </w:p>
    <w:p>
      <w:r>
        <w:t>（英）V.N.巴拉舒伯拉曼雅姆（V.N.Balasubramanyam），（英）桑加亚·拉尔（Sanjaya Lall）主编；梁小民译 其他作品：https://www.jiaokey.com/tag/（英）V.N.巴拉舒伯拉曼雅姆（V.N.Balasubramanyam），（英）桑加亚·拉尔（Sanjaya Lall）主编；梁小民译.html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关键词搜索：https://www.jiaokey.com/tag/发展经济学前沿问题.html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