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WTO后企业人力资源管理策略与实务</w:t>
      </w:r>
    </w:p>
    <w:p>
      <w:r>
        <w:rPr>
          <w:rFonts w:ascii="宋体" w:hAnsi="宋体" w:eastAsia="宋体"/>
          <w:sz w:val="24"/>
        </w:rPr>
        <w:t>万瑞嘉华经济研究中心著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WTO后企业人力资源管理策略与实务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本书出售、求购地址：https://www.jiaokey.com/book/detail/10844747.html</w:t>
      </w:r>
    </w:p>
    <w:p>
      <w:r>
        <w:t>更多相关图书推荐：https://www.jiaokey.com</w:t>
      </w:r>
    </w:p>
    <w:p>
      <w:r>
        <w:t>万瑞嘉华经济研究中心著 其他作品：https://www.jiaokey.com/tag/万瑞嘉华经济研究中心著.html</w:t>
      </w:r>
    </w:p>
    <w:p>
      <w:r>
        <w:t>关键词搜索：https://www.jiaokey.com/tag/WTO后企业人力资源管理策略与实务.html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