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异质结构激光器  上册  基本原理</w:t>
      </w:r>
    </w:p>
    <w:p>
      <w:r>
        <w:rPr>
          <w:rFonts w:ascii="宋体" w:hAnsi="宋体" w:eastAsia="宋体"/>
          <w:sz w:val="24"/>
        </w:rPr>
        <w:t>（美）H.C.凯西  M.B.帕尼什著  杜宝勋译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异质结构激光器  上册  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（美）H.C.凯西  M.B.帕尼什著  杜宝勋译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本书出售、求购地址：https://www.jiaokey.com/book/detail/10833930.html</w:t>
      </w:r>
    </w:p>
    <w:p>
      <w:r>
        <w:t>更多相关图书推荐：https://www.jiaokey.com</w:t>
      </w:r>
    </w:p>
    <w:p>
      <w:r>
        <w:t>（美）H.C.凯西  M.B.帕尼什著  杜宝勋译 其他作品：https://www.jiaokey.com/tag/（美）H.C.凯西  M.B.帕尼什著  杜宝勋译.html</w:t>
      </w:r>
    </w:p>
    <w:p>
      <w:r>
        <w:t>国防工业出版社 出版图书：https://www.jiaokey.com/tag/国防工业出版社.html</w:t>
      </w:r>
    </w:p>
    <w:p>
      <w:r>
        <w:t>关键词搜索：https://www.jiaokey.com/tag/异质结构激光器  上册  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