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结构模式识别</w:t>
      </w:r>
    </w:p>
    <w:p>
      <w:r>
        <w:rPr>
          <w:rFonts w:ascii="宋体" w:hAnsi="宋体" w:eastAsia="宋体"/>
          <w:sz w:val="24"/>
        </w:rPr>
        <w:t>（美）T.帕夫利迪斯著 张寿萱 徐立明译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（美）T.帕夫利迪斯著 张寿萱 徐立明译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本书出售、求购地址：https://www.jiaokey.com/book/detail/10832335.html</w:t>
      </w:r>
    </w:p>
    <w:p>
      <w:r>
        <w:t>更多相关图书推荐：https://www.jiaokey.com</w:t>
      </w:r>
    </w:p>
    <w:p>
      <w:r>
        <w:t>（美）T.帕夫利迪斯著 张寿萱 徐立明译 其他作品：https://www.jiaokey.com/tag/（美）T.帕夫利迪斯著 张寿萱 徐立明译.html</w:t>
      </w:r>
    </w:p>
    <w:p>
      <w:r>
        <w:t>关键词搜索：https://www.jiaokey.com/tag/结构模式识别.html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