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李光耀40年政论选</w:t>
      </w:r>
    </w:p>
    <w:p>
      <w:r>
        <w:rPr>
          <w:rFonts w:ascii="宋体" w:hAnsi="宋体" w:eastAsia="宋体"/>
          <w:sz w:val="24"/>
        </w:rPr>
        <w:t>新加坡联合早报编辑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李光耀40年政论选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新加坡联合早报编辑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新加坡报业控股华文报集团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本书出售、求购地址：https://www.jiaokey.com/book/detail/10830226.html</w:t>
      </w:r>
    </w:p>
    <w:p>
      <w:r>
        <w:t>更多相关图书推荐：https://www.jiaokey.com</w:t>
      </w:r>
    </w:p>
    <w:p>
      <w:r>
        <w:t>新加坡联合早报编辑 其他作品：https://www.jiaokey.com/tag/新加坡联合早报编辑.html</w:t>
      </w:r>
    </w:p>
    <w:p>
      <w:r>
        <w:t>新加坡报业控股华文报集团 出版图书：https://www.jiaokey.com/tag/新加坡报业控股华文报集团.html</w:t>
      </w:r>
    </w:p>
    <w:p>
      <w:r>
        <w:t>关键词搜索：https://www.jiaokey.com/tag/李光耀40年政论选.html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