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国家垄断酱主义  上册</w:t>
      </w:r>
    </w:p>
    <w:p>
      <w:r>
        <w:rPr>
          <w:rFonts w:ascii="宋体" w:hAnsi="宋体" w:eastAsia="宋体"/>
          <w:sz w:val="24"/>
        </w:rPr>
        <w:t>法共中央经济部等编著  宇泉待译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国家垄断酱主义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法共中央经济部等编著  宇泉待译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本书出售、求购地址：https://www.jiaokey.com/book/detail/10830153.html</w:t>
      </w:r>
    </w:p>
    <w:p>
      <w:r>
        <w:t>更多相关图书推荐：https://www.jiaokey.com</w:t>
      </w:r>
    </w:p>
    <w:p>
      <w:r>
        <w:t>法共中央经济部等编著  宇泉待译 其他作品：https://www.jiaokey.com/tag/法共中央经济部等编著  宇泉待译.html</w:t>
      </w:r>
    </w:p>
    <w:p>
      <w:r>
        <w:t>商务印书馆 出版图书：https://www.jiaokey.com/tag/商务印书馆.html</w:t>
      </w:r>
    </w:p>
    <w:p>
      <w:r>
        <w:t>关键词搜索：https://www.jiaokey.com/tag/国家垄断酱主义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