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  第二卷  十六和十七世纪</w:t>
      </w:r>
    </w:p>
    <w:p>
      <w:r>
        <w:rPr>
          <w:rFonts w:ascii="宋体" w:hAnsi="宋体" w:eastAsia="宋体"/>
          <w:sz w:val="24"/>
        </w:rPr>
        <w:t>（意）卡洛·M.奇波拉主编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  第二卷  十六和十七世纪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（意）卡洛·M.奇波拉主编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本书出售、求购地址：https://www.jiaokey.com/book/detail/10830051.html</w:t>
      </w:r>
    </w:p>
    <w:p>
      <w:r>
        <w:t>更多相关图书推荐：https://www.jiaokey.com</w:t>
      </w:r>
    </w:p>
    <w:p>
      <w:r>
        <w:t>（意）卡洛·M.奇波拉主编 其他作品：https://www.jiaokey.com/tag/（意）卡洛·M.奇波拉主编.html</w:t>
      </w:r>
    </w:p>
    <w:p>
      <w:r>
        <w:t>关键词搜索：https://www.jiaokey.com/tag/欧洲经济史  第二卷  十六和十七世纪.html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