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室内照明计算方法</w:t>
      </w:r>
    </w:p>
    <w:p>
      <w:r>
        <w:rPr>
          <w:rFonts w:ascii="宋体" w:hAnsi="宋体" w:eastAsia="宋体"/>
          <w:sz w:val="24"/>
        </w:rPr>
        <w:t>（日）石野幸三著；肖辉乾，庞蕴凡译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（日）石野幸三著；肖辉乾，庞蕴凡译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本书出售、求购地址：https://www.jiaokey.com/book/detail/10826819.html</w:t>
      </w:r>
    </w:p>
    <w:p>
      <w:r>
        <w:t>更多相关图书推荐：https://www.jiaokey.com</w:t>
      </w:r>
    </w:p>
    <w:p>
      <w:r>
        <w:t>（日）石野幸三著；肖辉乾，庞蕴凡译 其他作品：https://www.jiaokey.com/tag/（日）石野幸三著；肖辉乾，庞蕴凡译.html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关键词搜索：https://www.jiaokey.com/tag/室内照明计算方法.html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