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产权制度改革--中国国有企业改革的必由之路</w:t>
      </w:r>
    </w:p>
    <w:p>
      <w:r>
        <w:rPr>
          <w:rFonts w:ascii="宋体" w:hAnsi="宋体" w:eastAsia="宋体"/>
          <w:sz w:val="24"/>
        </w:rPr>
        <w:t>田源;朱雍编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产权制度改革--中国国有企业改革的必由之路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田源;朱雍编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本书出售、求购地址：https://www.jiaokey.com/book/detail/10823732.html</w:t>
      </w:r>
    </w:p>
    <w:p>
      <w:r>
        <w:t>更多相关图书推荐：https://www.jiaokey.com</w:t>
      </w:r>
    </w:p>
    <w:p>
      <w:r>
        <w:t>田源;朱雍编 其他作品：https://www.jiaokey.com/tag/田源;朱雍编.html</w:t>
      </w:r>
    </w:p>
    <w:p>
      <w:r>
        <w:t>大连：大连海运学院出版社 出版图书：https://www.jiaokey.com/tag/大连：大连海运学院出版社.html</w:t>
      </w:r>
    </w:p>
    <w:p>
      <w:r>
        <w:t>关键词搜索：https://www.jiaokey.com/tag/产权制度改革--中国国有企业改革的必由之路.html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