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WTO案例及评析 2000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WTO案例及评析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本书出售、求购地址：https://www.jiaokey.com/book/detail/10823134.html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关键词搜索：https://www.jiaokey.com/tag/WTO案例及评析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