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美国资本主义的动向——公司结构，通货膨胀，信用，黄金和美元</w:t>
      </w:r>
    </w:p>
    <w:p>
      <w:r>
        <w:rPr>
          <w:rFonts w:ascii="宋体" w:hAnsi="宋体" w:eastAsia="宋体"/>
          <w:sz w:val="24"/>
        </w:rPr>
        <w:t>（美）保罗·斯威齐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美国资本主义的动向——公司结构，通货膨胀，信用，黄金和美元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（美）保罗·斯威齐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本书出售、求购地址：https://www.jiaokey.com/book/detail/10815798.html</w:t>
      </w:r>
    </w:p>
    <w:p>
      <w:r>
        <w:t>更多相关图书推荐：https://www.jiaokey.com</w:t>
      </w:r>
    </w:p>
    <w:p>
      <w:r>
        <w:t>（美）保罗·斯威齐 其他作品：https://www.jiaokey.com/tag/（美）保罗·斯威齐.html</w:t>
      </w:r>
    </w:p>
    <w:p>
      <w:r>
        <w:t>关键词搜索：https://www.jiaokey.com/tag/美国资本主义的动向——公司结构，通货膨胀，信用，黄金和美元.html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