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公社土地占有制，其解体的原因、进程和结果</w:t>
      </w:r>
    </w:p>
    <w:p>
      <w:r>
        <w:rPr>
          <w:rFonts w:ascii="宋体" w:hAnsi="宋体" w:eastAsia="宋体"/>
          <w:sz w:val="24"/>
        </w:rPr>
        <w:t>（俄）马·科瓦列夫斯基（М.М.Ковалевский）著；李毅夫，金地译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公社土地占有制，其解体的原因、进程和结果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（俄）马·科瓦列夫斯基（М.М.Ковалевский）著；李毅夫，金地译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本书出售、求购地址：https://www.jiaokey.com/book/detail/10814373.html</w:t>
      </w:r>
    </w:p>
    <w:p>
      <w:r>
        <w:t>更多相关图书推荐：https://www.jiaokey.com</w:t>
      </w:r>
    </w:p>
    <w:p>
      <w:r>
        <w:t>（俄）马·科瓦列夫斯基（М.М.Ковалевский）著；李毅夫，金地译 其他作品：https://www.jiaokey.com/tag/（俄）马·科瓦列夫斯基（М.М.Ковалевский）著；李毅夫，金地译.html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关键词搜索：https://www.jiaokey.com/tag/公社土地占有制，其解体的原因、进程和结果.html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