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船用通信天线</w:t>
      </w:r>
    </w:p>
    <w:p>
      <w:r>
        <w:rPr>
          <w:rFonts w:ascii="宋体" w:hAnsi="宋体" w:eastAsia="宋体"/>
          <w:sz w:val="24"/>
        </w:rPr>
        <w:t>（苏）韦尔科夫（М.В.Вершков）编著；《船用通信天线》翻译组译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船用通信天线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（苏）韦尔科夫（М.В.Вершков）编著；《船用通信天线》翻译组译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本书出售、求购地址：https://www.jiaokey.com/book/detail/10813945.html</w:t>
      </w:r>
    </w:p>
    <w:p>
      <w:r>
        <w:t>更多相关图书推荐：https://www.jiaokey.com</w:t>
      </w:r>
    </w:p>
    <w:p>
      <w:r>
        <w:t>（苏）韦尔科夫（М.В.Вершков）编著；《船用通信天线》翻译组译 其他作品：https://www.jiaokey.com/tag/（苏）韦尔科夫（М.В.Вершков）编著；《船用通信天线》翻译组译.html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关键词搜索：https://www.jiaokey.com/tag/船用通信天线.html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