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企业家宝鉴  经营管理300信条</w:t>
      </w:r>
    </w:p>
    <w:p>
      <w:r>
        <w:rPr>
          <w:rFonts w:ascii="宋体" w:hAnsi="宋体" w:eastAsia="宋体"/>
          <w:sz w:val="24"/>
        </w:rPr>
        <w:t>徐明天，李执孔编著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企业家宝鉴  经营管理300信条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徐明天，李执孔编著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北京：中共中央党校出版社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本书出售、求购地址：https://www.jiaokey.com/book/detail/10809383.html</w:t>
      </w:r>
    </w:p>
    <w:p>
      <w:r>
        <w:t>更多相关图书推荐：https://www.jiaokey.com</w:t>
      </w:r>
    </w:p>
    <w:p>
      <w:r>
        <w:t>徐明天，李执孔编著 其他作品：https://www.jiaokey.com/tag/徐明天，李执孔编著.html</w:t>
      </w:r>
    </w:p>
    <w:p>
      <w:r>
        <w:t>北京：中共中央党校出版社 出版图书：https://www.jiaokey.com/tag/北京：中共中央党校出版社.html</w:t>
      </w:r>
    </w:p>
    <w:p>
      <w:r>
        <w:t>关键词搜索：https://www.jiaokey.com/tag/企业家宝鉴  经营管理300信条.html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