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科技革命和资本主义国家经济结构的变化</w:t>
      </w:r>
    </w:p>
    <w:p>
      <w:r>
        <w:rPr>
          <w:rFonts w:ascii="宋体" w:hAnsi="宋体" w:eastAsia="宋体"/>
          <w:sz w:val="24"/>
        </w:rPr>
        <w:t>（苏）И·П·法明斯基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科技革命和资本主义国家经济结构的变化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（苏）И·П·法明斯基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本书出售、求购地址：https://www.jiaokey.com/book/detail/10808292.html</w:t>
      </w:r>
    </w:p>
    <w:p>
      <w:r>
        <w:t>更多相关图书推荐：https://www.jiaokey.com</w:t>
      </w:r>
    </w:p>
    <w:p>
      <w:r>
        <w:t>（苏）И·П·法明斯基 其他作品：https://www.jiaokey.com/tag/（苏）И·П·法明斯基.html</w:t>
      </w:r>
    </w:p>
    <w:p>
      <w:r>
        <w:t>关键词搜索：https://www.jiaokey.com/tag/科技革命和资本主义国家经济结构的变化.html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