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资本所得课税与资源配置</w:t>
      </w:r>
    </w:p>
    <w:p>
      <w:r>
        <w:rPr>
          <w:rFonts w:ascii="宋体" w:hAnsi="宋体" w:eastAsia="宋体"/>
          <w:sz w:val="24"/>
        </w:rPr>
        <w:t>（德）汉斯-沃纳·斯恩（Hans-Werner Sinn）著；赵志耘，郭庆旺译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资本所得课税与资源配置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（德）汉斯-沃纳·斯恩（Hans-Werner Sinn）著；赵志耘，郭庆旺译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本书出售、求购地址：https://www.jiaokey.com/book/detail/10795814.html</w:t>
      </w:r>
    </w:p>
    <w:p>
      <w:r>
        <w:t>更多相关图书推荐：https://www.jiaokey.com</w:t>
      </w:r>
    </w:p>
    <w:p>
      <w:r>
        <w:t>（德）汉斯-沃纳·斯恩（Hans-Werner Sinn）著；赵志耘，郭庆旺译 其他作品：https://www.jiaokey.com/tag/（德）汉斯-沃纳·斯恩（Hans-Werner Sinn）著；赵志耘，郭庆旺译.html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关键词搜索：https://www.jiaokey.com/tag/资本所得课税与资源配置.html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