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书名：分税制和新税制及其财务处理</w:t>
      </w:r>
    </w:p>
    <w:p>
      <w:r>
        <w:t>作者：华桐，杜兴邦，段侍光</w:t>
      </w:r>
    </w:p>
    <w:p>
      <w:r>
        <w:t>出版社：南昌：江西科学技术出版社</w:t>
      </w:r>
    </w:p>
    <w:p>
      <w:r>
        <w:t>出版日期：1995.01</w:t>
      </w:r>
    </w:p>
    <w:p>
      <w:r>
        <w:t>总页数：299</w:t>
      </w:r>
    </w:p>
    <w:p>
      <w:r>
        <w:t>更多请访问教客网: www.jiaokey.com</w:t>
      </w:r>
    </w:p>
    <w:p>
      <w:r>
        <w:t>分税制和新税制及其财务处理 评论地址：https://www.jiaokey.com/book/detail/10783981.html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