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国家的作用  21世纪的资本主义前景</w:t>
      </w:r>
    </w:p>
    <w:p>
      <w:r>
        <w:rPr>
          <w:rFonts w:ascii="宋体" w:hAnsi="宋体" w:eastAsia="宋体"/>
          <w:sz w:val="24"/>
        </w:rPr>
        <w:t>（美）罗伯特·赖克（Robert B.Reich）著；上海市政协编译组，东方编译所编译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国家的作用  21世纪的资本主义前景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（美）罗伯特·赖克（Robert B.Reich）著；上海市政协编译组，东方编译所编译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本书出售、求购地址：https://www.jiaokey.com/book/detail/10782598.html</w:t>
      </w:r>
    </w:p>
    <w:p>
      <w:r>
        <w:t>更多相关图书推荐：https://www.jiaokey.com</w:t>
      </w:r>
    </w:p>
    <w:p>
      <w:r>
        <w:t>（美）罗伯特·赖克（Robert B.Reich）著；上海市政协编译组，东方编译所编译 其他作品：https://www.jiaokey.com/tag/（美）罗伯特·赖克（Robert B.Reich）著；上海市政协编译组，东方编译所编译.html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关键词搜索：https://www.jiaokey.com/tag/国家的作用  21世纪的资本主义前景.html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