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ISP98理论与实务研究</w:t>
      </w:r>
    </w:p>
    <w:p>
      <w:r>
        <w:rPr>
          <w:rFonts w:ascii="宋体" w:hAnsi="宋体" w:eastAsia="宋体"/>
          <w:sz w:val="24"/>
        </w:rPr>
        <w:t>张燕玲，邱智坤编著；中国银行教育部，中国银行营业部编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ISP98理论与实务研究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张燕玲，邱智坤编著；中国银行教育部，中国银行营业部编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本书出售、求购地址：https://www.jiaokey.com/book/detail/10781525.html</w:t>
      </w:r>
    </w:p>
    <w:p>
      <w:r>
        <w:t>更多相关图书推荐：https://www.jiaokey.com</w:t>
      </w:r>
    </w:p>
    <w:p>
      <w:r>
        <w:t>张燕玲，邱智坤编著；中国银行教育部，中国银行营业部编 其他作品：https://www.jiaokey.com/tag/张燕玲，邱智坤编著；中国银行教育部，中国银行营业部编.html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关键词搜索：https://www.jiaokey.com/tag/ISP98理论与实务研究.html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