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叶轮机械  计算与设计</w:t>
      </w:r>
    </w:p>
    <w:p>
      <w:r>
        <w:rPr>
          <w:rFonts w:ascii="宋体" w:hAnsi="宋体" w:eastAsia="宋体"/>
          <w:sz w:val="24"/>
        </w:rPr>
        <w:t>（联邦德国）鲍u3000尔（Bohl，W.）著；卞昭浚，王俊宝译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叶轮机械  计算与设计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（联邦德国）鲍u3000尔（Bohl，W.）著；卞昭浚，王俊宝译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本书出售、求购地址：https://www.jiaokey.com/book/detail/10778743.html</w:t>
      </w:r>
    </w:p>
    <w:p>
      <w:r>
        <w:t>更多相关图书推荐：https://www.jiaokey.com</w:t>
      </w:r>
    </w:p>
    <w:p>
      <w:r>
        <w:t>（联邦德国）鲍u3000尔（Bohl，W.）著；卞昭浚，王俊宝译 其他作品：https://www.jiaokey.com/tag/（联邦德国）鲍u3000尔（Bohl，W.）著；卞昭浚，王俊宝译.html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关键词搜索：https://www.jiaokey.com/tag/叶轮机械  计算与设计.html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