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全国会计专业技术资格考试答题技巧及典型试题解析</w:t>
      </w:r>
    </w:p>
    <w:p>
      <w:r>
        <w:rPr>
          <w:rFonts w:ascii="宋体" w:hAnsi="宋体" w:eastAsia="宋体"/>
          <w:sz w:val="24"/>
        </w:rPr>
        <w:t>袁晓勇  谷军等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全国会计专业技术资格考试答题技巧及典型试题解析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  谷军等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本书出售、求购地址：https://www.jiaokey.com/book/detail/10770762.html</w:t>
      </w:r>
    </w:p>
    <w:p>
      <w:r>
        <w:t>更多相关图书推荐：https://www.jiaokey.com</w:t>
      </w:r>
    </w:p>
    <w:p>
      <w:r>
        <w:t>袁晓勇  谷军等 其他作品：https://www.jiaokey.com/tag/袁晓勇  谷军等.html</w:t>
      </w:r>
    </w:p>
    <w:p>
      <w:r>
        <w:t>人民日报出版社 出版图书：https://www.jiaokey.com/tag/人民日报出版社.html</w:t>
      </w:r>
    </w:p>
    <w:p>
      <w:r>
        <w:t>关键词搜索：https://www.jiaokey.com/tag/全国会计专业技术资格考试答题技巧及典型试题解析.html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