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水电工程概算指标  第2册  机电设备安装工程</w:t>
      </w:r>
    </w:p>
    <w:p>
      <w:r>
        <w:rPr>
          <w:rFonts w:ascii="宋体" w:hAnsi="宋体" w:eastAsia="宋体"/>
          <w:sz w:val="24"/>
        </w:rPr>
        <w:t>水力电力部颁发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水电工程概算指标  第2册  机电设备安装工程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水力电力部颁发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水力电力出版社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本书出售、求购地址：https://www.jiaokey.com/book/detail/10768161.html</w:t>
      </w:r>
    </w:p>
    <w:p>
      <w:r>
        <w:t>更多相关图书推荐：https://www.jiaokey.com</w:t>
      </w:r>
    </w:p>
    <w:p>
      <w:r>
        <w:t>水力电力部颁发 其他作品：https://www.jiaokey.com/tag/水力电力部颁发.html</w:t>
      </w:r>
    </w:p>
    <w:p>
      <w:r>
        <w:t>水力电力出版社 出版图书：https://www.jiaokey.com/tag/水力电力出版社.html</w:t>
      </w:r>
    </w:p>
    <w:p>
      <w:r>
        <w:t>关键词搜索：https://www.jiaokey.com/tag/水电工程概算指标  第2册  机电设备安装工程.html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