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国民经济政策</w:t>
      </w:r>
    </w:p>
    <w:p>
      <w:r>
        <w:rPr>
          <w:rFonts w:ascii="宋体" w:hAnsi="宋体" w:eastAsia="宋体"/>
          <w:sz w:val="24"/>
        </w:rPr>
        <w:t>（德）库策拉（Kucera，Gustav），（德）米勒-哥德福罗伊（Muller-Godeffroy，Heinrich）著；唐咸正，郭明雄译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（德）库策拉（Kucera，Gustav），（德）米勒-哥德福罗伊（Muller-Godeffroy，Heinrich）著；唐咸正，郭明雄译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本书出售、求购地址：https://www.jiaokey.com/book/detail/10765933.html</w:t>
      </w:r>
    </w:p>
    <w:p>
      <w:r>
        <w:t>更多相关图书推荐：https://www.jiaokey.com</w:t>
      </w:r>
    </w:p>
    <w:p>
      <w:r>
        <w:t>（德）库策拉（Kucera，Gustav），（德）米勒-哥德福罗伊（Muller-Godeffroy，Heinrich）著；唐咸正，郭明雄译 其他作品：https://www.jiaokey.com/tag/（德）库策拉（Kucera，Gustav），（德）米勒-哥德福罗伊（Muller-Godeffroy，Heinrich）著；唐咸正，郭明雄译.html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关键词搜索：https://www.jiaokey.com/tag/国民经济政策.html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