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近代亚洲史料选辑（下册）</w:t>
      </w:r>
    </w:p>
    <w:p>
      <w:r>
        <w:rPr>
          <w:rFonts w:ascii="宋体" w:hAnsi="宋体" w:eastAsia="宋体"/>
          <w:sz w:val="24"/>
        </w:rPr>
        <w:t>周南京  梁英明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近代亚洲史料选辑（下册）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  梁英明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本书出售、求购地址：https://www.jiaokey.com/book/detail/10759812.html</w:t>
      </w:r>
    </w:p>
    <w:p>
      <w:r>
        <w:t>更多相关图书推荐：https://www.jiaokey.com</w:t>
      </w:r>
    </w:p>
    <w:p>
      <w:r>
        <w:t>周南京  梁英明 其他作品：https://www.jiaokey.com/tag/周南京  梁英明.html</w:t>
      </w:r>
    </w:p>
    <w:p>
      <w:r>
        <w:t>商务印书馆 出版图书：https://www.jiaokey.com/tag/商务印书馆.html</w:t>
      </w:r>
    </w:p>
    <w:p>
      <w:r>
        <w:t>关键词搜索：https://www.jiaokey.com/tag/近代亚洲史料选辑（下册）.html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