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书名：唯物史观的核心和当代现实  论生产关系必须适合生产力性质的规律</w:t>
      </w:r>
    </w:p>
    <w:p>
      <w:r>
        <w:t>作者：赵家祥著</w:t>
      </w:r>
    </w:p>
    <w:p>
      <w:r>
        <w:t>出版社：天津：天津人民出版社</w:t>
      </w:r>
    </w:p>
    <w:p>
      <w:r>
        <w:t>出版日期：1987.07</w:t>
      </w:r>
    </w:p>
    <w:p>
      <w:r>
        <w:t>总页数：404</w:t>
      </w:r>
    </w:p>
    <w:p>
      <w:r>
        <w:t>更多请访问教客网: www.jiaokey.com</w:t>
      </w:r>
    </w:p>
    <w:p>
      <w:r>
        <w:t>唯物史观的核心和当代现实  论生产关系必须适合生产力性质的规律 评论地址：https://www.jiaokey.com/book/detail/10751302.html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