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就业训练机械加工专业教学计划及教学大纲  试用</w:t>
      </w:r>
    </w:p>
    <w:p>
      <w:r>
        <w:rPr>
          <w:rFonts w:ascii="宋体" w:hAnsi="宋体" w:eastAsia="宋体"/>
          <w:sz w:val="24"/>
        </w:rPr>
        <w:t>劳动部培训司制订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就业训练机械加工专业教学计划及教学大纲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本书出售、求购地址：https://www.jiaokey.com/book/detail/10743362.html</w:t>
      </w:r>
    </w:p>
    <w:p>
      <w:r>
        <w:t>更多相关图书推荐：https://www.jiaokey.com</w:t>
      </w:r>
    </w:p>
    <w:p>
      <w:r>
        <w:t>劳动部培训司制订 其他作品：https://www.jiaokey.com/tag/劳动部培训司制订.html</w:t>
      </w:r>
    </w:p>
    <w:p>
      <w:r>
        <w:t>中国劳动出版社 出版图书：https://www.jiaokey.com/tag/中国劳动出版社.html</w:t>
      </w:r>
    </w:p>
    <w:p>
      <w:r>
        <w:t>关键词搜索：https://www.jiaokey.com/tag/就业训练机械加工专业教学计划及教学大纲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