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什么决定粮食价格  发展中国家农产品价格政策</w:t>
      </w:r>
    </w:p>
    <w:p>
      <w:r>
        <w:rPr>
          <w:rFonts w:ascii="宋体" w:hAnsi="宋体" w:eastAsia="宋体"/>
          <w:sz w:val="24"/>
        </w:rPr>
        <w:t>（美）斯瑞丁（Streeten，P.）著；李玉林，季业宏译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什么决定粮食价格  发展中国家农产品价格政策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（美）斯瑞丁（Streeten，P.）著；李玉林，季业宏译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本书出售、求购地址：https://www.jiaokey.com/book/detail/10737110.html</w:t>
      </w:r>
    </w:p>
    <w:p>
      <w:r>
        <w:t>更多相关图书推荐：https://www.jiaokey.com</w:t>
      </w:r>
    </w:p>
    <w:p>
      <w:r>
        <w:t>（美）斯瑞丁（Streeten，P.）著；李玉林，季业宏译 其他作品：https://www.jiaokey.com/tag/（美）斯瑞丁（Streeten，P.）著；李玉林，季业宏译.html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关键词搜索：https://www.jiaokey.com/tag/什么决定粮食价格  发展中国家农产品价格政策.html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