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农工一体化条件下经济规律的作用</w:t>
      </w:r>
    </w:p>
    <w:p>
      <w:r>
        <w:rPr>
          <w:rFonts w:ascii="宋体" w:hAnsi="宋体" w:eastAsia="宋体"/>
          <w:sz w:val="24"/>
        </w:rPr>
        <w:t>（苏）Е.П.古宾（Е.П.Губин）著；大连外国语学院国际问题研究所苏联研究室译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农工一体化条件下经济规律的作用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（苏）Е.П.古宾（Е.П.Губин）著；大连外国语学院国际问题研究所苏联研究室译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本书出售、求购地址：https://www.jiaokey.com/book/detail/10733166.html</w:t>
      </w:r>
    </w:p>
    <w:p>
      <w:r>
        <w:t>更多相关图书推荐：https://www.jiaokey.com</w:t>
      </w:r>
    </w:p>
    <w:p>
      <w:r>
        <w:t>（苏）Е.П.古宾（Е.П.Губин）著；大连外国语学院国际问题研究所苏联研究室译 其他作品：https://www.jiaokey.com/tag/（苏）Е.П.古宾（Е.П.Губин）著；大连外国语学院国际问题研究所苏联研究室译.html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关键词搜索：https://www.jiaokey.com/tag/农工一体化条件下经济规律的作用.html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