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古生物学原理</w:t>
      </w:r>
    </w:p>
    <w:p>
      <w:r>
        <w:rPr>
          <w:rFonts w:ascii="宋体" w:hAnsi="宋体" w:eastAsia="宋体"/>
          <w:sz w:val="24"/>
        </w:rPr>
        <w:t>（美）劳普（D.M.Raup），（美）斯坦利（S.M.Stanlry）著；武汉地质学院古生物教研室译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古生物学原理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（美）劳普（D.M.Raup），（美）斯坦利（S.M.Stanlry）著；武汉地质学院古生物教研室译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本书出售、求购地址：https://www.jiaokey.com/book/detail/10731915.html</w:t>
      </w:r>
    </w:p>
    <w:p>
      <w:r>
        <w:t>更多相关图书推荐：https://www.jiaokey.com</w:t>
      </w:r>
    </w:p>
    <w:p>
      <w:r>
        <w:t>（美）劳普（D.M.Raup），（美）斯坦利（S.M.Stanlry）著；武汉地质学院古生物教研室译 其他作品：https://www.jiaokey.com/tag/（美）劳普（D.M.Raup），（美）斯坦利（S.M.Stanlry）著；武汉地质学院古生物教研室译.html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关键词搜索：https://www.jiaokey.com/tag/古生物学原理.html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