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成本会计学原理及应用</w:t>
      </w:r>
    </w:p>
    <w:p>
      <w:r>
        <w:rPr>
          <w:rFonts w:ascii="宋体" w:hAnsi="宋体" w:eastAsia="宋体"/>
          <w:sz w:val="24"/>
        </w:rPr>
        <w:t>（美）布罗克—帕尔默—斯威尼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（美）布罗克—帕尔默—斯威尼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本书出售、求购地址：https://www.jiaokey.com/book/detail/10728755.html</w:t>
      </w:r>
    </w:p>
    <w:p>
      <w:r>
        <w:t>更多相关图书推荐：https://www.jiaokey.com</w:t>
      </w:r>
    </w:p>
    <w:p>
      <w:r>
        <w:t>（美）布罗克—帕尔默—斯威尼 其他作品：https://www.jiaokey.com/tag/（美）布罗克—帕尔默—斯威尼.html</w:t>
      </w:r>
    </w:p>
    <w:p>
      <w:r>
        <w:t>上海人民出版社 出版图书：https://www.jiaokey.com/tag/上海人民出版社.html</w:t>
      </w:r>
    </w:p>
    <w:p>
      <w:r>
        <w:t>关键词搜索：https://www.jiaokey.com/tag/成本会计学原理及应用.html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