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大功率汽轮发电机及其运行  下册</w:t>
      </w:r>
    </w:p>
    <w:p>
      <w:r>
        <w:rPr>
          <w:rFonts w:ascii="宋体" w:hAnsi="宋体" w:eastAsia="宋体"/>
          <w:sz w:val="24"/>
        </w:rPr>
        <w:t>张道纲  曹广恩  朱松健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大功率汽轮发电机及其运行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张道纲  曹广恩  朱松健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本书出售、求购地址：https://www.jiaokey.com/book/detail/10725479.html</w:t>
      </w:r>
    </w:p>
    <w:p>
      <w:r>
        <w:t>更多相关图书推荐：https://www.jiaokey.com</w:t>
      </w:r>
    </w:p>
    <w:p>
      <w:r>
        <w:t>张道纲  曹广恩  朱松健 其他作品：https://www.jiaokey.com/tag/张道纲  曹广恩  朱松健.html</w:t>
      </w:r>
    </w:p>
    <w:p>
      <w:r>
        <w:t>水利电力出版社 出版图书：https://www.jiaokey.com/tag/水利电力出版社.html</w:t>
      </w:r>
    </w:p>
    <w:p>
      <w:r>
        <w:t>关键词搜索：https://www.jiaokey.com/tag/大功率汽轮发电机及其运行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