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立体声原理</w:t>
      </w:r>
    </w:p>
    <w:p>
      <w:r>
        <w:rPr>
          <w:rFonts w:ascii="宋体" w:hAnsi="宋体" w:eastAsia="宋体"/>
          <w:sz w:val="24"/>
        </w:rPr>
        <w:t>（苏）柯瓦尔金（Ю.А.Ковалсцн）等著；胡行舟等译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立体声原理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（苏）柯瓦尔金（Ю.А.Ковалсцн）等著；胡行舟等译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本书出售、求购地址：https://www.jiaokey.com/book/detail/10696817.html</w:t>
      </w:r>
    </w:p>
    <w:p>
      <w:r>
        <w:t>更多相关图书推荐：https://www.jiaokey.com</w:t>
      </w:r>
    </w:p>
    <w:p>
      <w:r>
        <w:t>（苏）柯瓦尔金（Ю.А.Ковалсцн）等著；胡行舟等译 其他作品：https://www.jiaokey.com/tag/（苏）柯瓦尔金（Ю.А.Ковалсцн）等著；胡行舟等译.html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关键词搜索：https://www.jiaokey.com/tag/立体声原理.html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