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法国刑事诉讼法精义</w:t>
      </w:r>
    </w:p>
    <w:p>
      <w:r>
        <w:rPr>
          <w:rFonts w:ascii="宋体" w:hAnsi="宋体" w:eastAsia="宋体"/>
          <w:sz w:val="24"/>
        </w:rPr>
        <w:t>（法）卡斯东·斯特法尼等著；罗结珍译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法国刑事诉讼法精义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（法）卡斯东·斯特法尼等著；罗结珍译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本书出售、求购地址：https://www.jiaokey.com/book/detail/10676162.html</w:t>
      </w:r>
    </w:p>
    <w:p>
      <w:r>
        <w:t>更多相关图书推荐：https://www.jiaokey.com</w:t>
      </w:r>
    </w:p>
    <w:p>
      <w:r>
        <w:t>（法）卡斯东·斯特法尼等著；罗结珍译 其他作品：https://www.jiaokey.com/tag/（法）卡斯东·斯特法尼等著；罗结珍译.html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关键词搜索：https://www.jiaokey.com/tag/法国刑事诉讼法精义.html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