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</w:t>
      </w:r>
    </w:p>
    <w:p>
      <w:r>
        <w:rPr>
          <w:rFonts w:ascii="宋体" w:hAnsi="宋体" w:eastAsia="宋体"/>
          <w:sz w:val="24"/>
        </w:rPr>
        <w:t>（日）原田尚彦著；于敏译（早稻田大学经济学院）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（日）原田尚彦著；于敏译（早稻田大学经济学院）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本书出售、求购地址：https://www.jiaokey.com/book/detail/10671682.html</w:t>
      </w:r>
    </w:p>
    <w:p>
      <w:r>
        <w:t>更多相关图书推荐：https://www.jiaokey.com</w:t>
      </w:r>
    </w:p>
    <w:p>
      <w:r>
        <w:t>（日）原田尚彦著；于敏译（早稻田大学经济学院） 其他作品：https://www.jiaokey.com/tag/（日）原田尚彦著；于敏译（早稻田大学经济学院）.html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关键词搜索：https://www.jiaokey.com/tag/环境法.html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