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企业会计准则及指南  2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企业会计准则及指南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本书出售、求购地址：https://www.jiaokey.com/book/detail/10667148.html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关键词搜索：https://www.jiaokey.com/tag/企业会计准则及指南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