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苏鲁豫皖接壤地区资源开发产业布局与环境整治</w:t>
      </w:r>
    </w:p>
    <w:p>
      <w:r>
        <w:rPr>
          <w:rFonts w:ascii="宋体" w:hAnsi="宋体" w:eastAsia="宋体"/>
          <w:sz w:val="24"/>
        </w:rPr>
        <w:t>毛汉英主编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苏鲁豫皖接壤地区资源开发产业布局与环境整治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本书出售、求购地址：https://www.jiaokey.com/book/detail/10655076.html</w:t>
      </w:r>
    </w:p>
    <w:p>
      <w:r>
        <w:t>更多相关图书推荐：https://www.jiaokey.com</w:t>
      </w:r>
    </w:p>
    <w:p>
      <w:r>
        <w:t>毛汉英主编 其他作品：https://www.jiaokey.com/tag/毛汉英主编.html</w:t>
      </w:r>
    </w:p>
    <w:p>
      <w:r>
        <w:t>关键词搜索：https://www.jiaokey.com/tag/苏鲁豫皖接壤地区资源开发产业布局与环境整治.html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