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材料对强冲击载荷的动态响应</w:t>
      </w:r>
    </w:p>
    <w:p>
      <w:r>
        <w:rPr>
          <w:rFonts w:ascii="宋体" w:hAnsi="宋体" w:eastAsia="宋体"/>
          <w:sz w:val="24"/>
        </w:rPr>
        <w:t>（美）周培基，（美）霍普肯斯（Hopkins，A.K.）主编；赵衡阳等译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材料对强冲击载荷的动态响应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（美）周培基，（美）霍普肯斯（Hopkins，A.K.）主编；赵衡阳等译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本书出售、求购地址：https://www.jiaokey.com/book/detail/10653975.html</w:t>
      </w:r>
    </w:p>
    <w:p>
      <w:r>
        <w:t>更多相关图书推荐：https://www.jiaokey.com</w:t>
      </w:r>
    </w:p>
    <w:p>
      <w:r>
        <w:t>（美）周培基，（美）霍普肯斯（Hopkins，A.K.）主编；赵衡阳等译 其他作品：https://www.jiaokey.com/tag/（美）周培基，（美）霍普肯斯（Hopkins，A.K.）主编；赵衡阳等译.html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关键词搜索：https://www.jiaokey.com/tag/材料对强冲击载荷的动态响应.html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