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线性结构静力与动力分析程序 SAP-5的使用方法及算例分析</w:t>
      </w:r>
    </w:p>
    <w:p>
      <w:r>
        <w:rPr>
          <w:rFonts w:ascii="宋体" w:hAnsi="宋体" w:eastAsia="宋体"/>
          <w:sz w:val="24"/>
        </w:rPr>
        <w:t>郭天德，杨平，高晓渭，张义忠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线性结构静力与动力分析程序 SAP-5的使用方法及算例分析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郭天德，杨平，高晓渭，张义忠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本书出售、求购地址：https://www.jiaokey.com/book/detail/10651761.html</w:t>
      </w:r>
    </w:p>
    <w:p>
      <w:r>
        <w:t>更多相关图书推荐：https://www.jiaokey.com</w:t>
      </w:r>
    </w:p>
    <w:p>
      <w:r>
        <w:t>郭天德，杨平，高晓渭，张义忠 其他作品：https://www.jiaokey.com/tag/郭天德，杨平，高晓渭，张义忠.html</w:t>
      </w:r>
    </w:p>
    <w:p>
      <w:r>
        <w:t>陕西机械学院 出版图书：https://www.jiaokey.com/tag/陕西机械学院.html</w:t>
      </w:r>
    </w:p>
    <w:p>
      <w:r>
        <w:t>关键词搜索：https://www.jiaokey.com/tag/线性结构静力与动力分析程序 SAP-5的使用方法及算例分析.html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