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关于氧化物阴极的研究</w:t>
      </w:r>
    </w:p>
    <w:p>
      <w:r>
        <w:rPr>
          <w:rFonts w:ascii="宋体" w:hAnsi="宋体" w:eastAsia="宋体"/>
          <w:sz w:val="24"/>
        </w:rPr>
        <w:t>（苏）布利斯库诺夫（Н.А.Блискунов）著；清华大学无线电系真空器件教研组译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关于氧化物阴极的研究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（苏）布利斯库诺夫（Н.А.Блискунов）著；清华大学无线电系真空器件教研组译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本书出售、求购地址：https://www.jiaokey.com/book/detail/10647733.html</w:t>
      </w:r>
    </w:p>
    <w:p>
      <w:r>
        <w:t>更多相关图书推荐：https://www.jiaokey.com</w:t>
      </w:r>
    </w:p>
    <w:p>
      <w:r>
        <w:t>（苏）布利斯库诺夫（Н.А.Блискунов）著；清华大学无线电系真空器件教研组译 其他作品：https://www.jiaokey.com/tag/（苏）布利斯库诺夫（Н.А.Блискунов）著；清华大学无线电系真空器件教研组译.html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关键词搜索：https://www.jiaokey.com/tag/关于氧化物阴极的研究.html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