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跨世纪中华花卉业的奋斗目标-从“世界园林之母”到“全球花卉王国”</w:t>
      </w:r>
    </w:p>
    <w:p>
      <w:r>
        <w:rPr>
          <w:rFonts w:ascii="宋体" w:hAnsi="宋体" w:eastAsia="宋体"/>
          <w:sz w:val="24"/>
        </w:rPr>
        <w:t>陈俊愉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跨世纪中华花卉业的奋斗目标-从“世界园林之母”到“全球花卉王国”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本书出售、求购地址：https://www.jiaokey.com/book/detail/10533507.html</w:t>
      </w:r>
    </w:p>
    <w:p>
      <w:r>
        <w:t>更多相关图书推荐：https://www.jiaokey.com</w:t>
      </w:r>
    </w:p>
    <w:p>
      <w:r>
        <w:t>陈俊愉 其他作品：https://www.jiaokey.com/tag/陈俊愉.html</w:t>
      </w:r>
    </w:p>
    <w:p>
      <w:r>
        <w:t>关键词搜索：https://www.jiaokey.com/tag/跨世纪中华花卉业的奋斗目标-从“世界园林之母”到“全球花卉王国”.html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