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差别化、规模化与专一服务：21世纪名牌商标优势战略</w:t>
      </w:r>
    </w:p>
    <w:p>
      <w:r>
        <w:rPr>
          <w:rFonts w:ascii="宋体" w:hAnsi="宋体" w:eastAsia="宋体"/>
          <w:sz w:val="24"/>
        </w:rPr>
        <w:t>白光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差别化、规模化与专一服务：21世纪名牌商标优势战略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本书出售、求购地址：https://www.jiaokey.com/book/detail/10531817.html</w:t>
      </w:r>
    </w:p>
    <w:p>
      <w:r>
        <w:t>更多相关图书推荐：https://www.jiaokey.com</w:t>
      </w:r>
    </w:p>
    <w:p>
      <w:r>
        <w:t>白光 其他作品：https://www.jiaokey.com/tag/白光.html</w:t>
      </w:r>
    </w:p>
    <w:p>
      <w:r>
        <w:t>中国经济出版社 出版图书：https://www.jiaokey.com/tag/中国经济出版社.html</w:t>
      </w:r>
    </w:p>
    <w:p>
      <w:r>
        <w:t>关键词搜索：https://www.jiaokey.com/tag/差别化、规模化与专一服务：21世纪名牌商标优势战略.html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