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信息之剑  信息时代获利要诀</w:t>
      </w:r>
    </w:p>
    <w:p>
      <w:r>
        <w:rPr>
          <w:rFonts w:ascii="宋体" w:hAnsi="宋体" w:eastAsia="宋体"/>
          <w:sz w:val="24"/>
        </w:rPr>
        <w:t>（美）乔治·弗里德曼（George Fricdman）等著；姚宏飞，罗荣春译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信息之剑  信息时代获利要诀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（美）乔治·弗里德曼（George Fricdman）等著；姚宏飞，罗荣春译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本书出售、求购地址：https://www.jiaokey.com/book/detail/10531761.html</w:t>
      </w:r>
    </w:p>
    <w:p>
      <w:r>
        <w:t>更多相关图书推荐：https://www.jiaokey.com</w:t>
      </w:r>
    </w:p>
    <w:p>
      <w:r>
        <w:t>（美）乔治·弗里德曼（George Fricdman）等著；姚宏飞，罗荣春译 其他作品：https://www.jiaokey.com/tag/（美）乔治·弗里德曼（George Fricdman）等著；姚宏飞，罗荣春译.html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关键词搜索：https://www.jiaokey.com/tag/信息之剑  信息时代获利要诀.html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