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气体化学反应动力学</w:t>
      </w:r>
    </w:p>
    <w:p>
      <w:r>
        <w:rPr>
          <w:rFonts w:ascii="宋体" w:hAnsi="宋体" w:eastAsia="宋体"/>
          <w:sz w:val="24"/>
        </w:rPr>
        <w:t>（苏）康德拉季耶夫，В.Н.著；刘巽俊译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气体化学反应动力学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（苏）康德拉季耶夫，В.Н.著；刘巽俊译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本书出售、求购地址：https://www.jiaokey.com/book/detail/10529962.html</w:t>
      </w:r>
    </w:p>
    <w:p>
      <w:r>
        <w:t>更多相关图书推荐：https://www.jiaokey.com</w:t>
      </w:r>
    </w:p>
    <w:p>
      <w:r>
        <w:t>（苏）康德拉季耶夫，В.Н.著；刘巽俊译 其他作品：https://www.jiaokey.com/tag/（苏）康德拉季耶夫，В.Н.著；刘巽俊译.html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关键词搜索：https://www.jiaokey.com/tag/气体化学反应动力学.html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