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京津唐张地区震级频度关系的空间扫描</w:t>
      </w:r>
    </w:p>
    <w:p>
      <w:r>
        <w:rPr>
          <w:rFonts w:ascii="宋体" w:hAnsi="宋体" w:eastAsia="宋体"/>
          <w:sz w:val="24"/>
        </w:rPr>
        <w:t>马瑾，雷兴林等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京津唐张地区震级频度关系的空间扫描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马瑾，雷兴林等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本书出售、求购地址：https://www.jiaokey.com/book/detail/10529033.html</w:t>
      </w:r>
    </w:p>
    <w:p>
      <w:r>
        <w:t>更多相关图书推荐：https://www.jiaokey.com</w:t>
      </w:r>
    </w:p>
    <w:p>
      <w:r>
        <w:t>马瑾，雷兴林等 其他作品：https://www.jiaokey.com/tag/马瑾，雷兴林等.html</w:t>
      </w:r>
    </w:p>
    <w:p>
      <w:r>
        <w:t>关键词搜索：https://www.jiaokey.com/tag/京津唐张地区震级频度关系的空间扫描.html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