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数学通报  1993年2月  深入剖析“微积分基本定理”的内涵</w:t>
      </w:r>
    </w:p>
    <w:p>
      <w:r>
        <w:rPr>
          <w:rFonts w:ascii="宋体" w:hAnsi="宋体" w:eastAsia="宋体"/>
          <w:sz w:val="24"/>
        </w:rPr>
        <w:t>刘炳麟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数学通报  1993年2月  深入剖析“微积分基本定理”的内涵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本书出售、求购地址：https://www.jiaokey.com/book/detail/10528294.html</w:t>
      </w:r>
    </w:p>
    <w:p>
      <w:r>
        <w:t>更多相关图书推荐：https://www.jiaokey.com</w:t>
      </w:r>
    </w:p>
    <w:p>
      <w:r>
        <w:t>刘炳麟 其他作品：https://www.jiaokey.com/tag/刘炳麟.html</w:t>
      </w:r>
    </w:p>
    <w:p>
      <w:r>
        <w:t>关键词搜索：https://www.jiaokey.com/tag/数学通报  1993年2月  深入剖析“微积分基本定理”的内涵.html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