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同位素的光谱分析</w:t>
      </w:r>
    </w:p>
    <w:p>
      <w:r>
        <w:rPr>
          <w:rFonts w:ascii="宋体" w:hAnsi="宋体" w:eastAsia="宋体"/>
          <w:sz w:val="24"/>
        </w:rPr>
        <w:t>（苏）斯特利甘诺夫（А.Р.Стриганов）著；王傅珏，徐世秋译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同位素的光谱分析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（苏）斯特利甘诺夫（А.Р.Стриганов）著；王傅珏，徐世秋译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本书出售、求购地址：https://www.jiaokey.com/book/detail/10526296.html</w:t>
      </w:r>
    </w:p>
    <w:p>
      <w:r>
        <w:t>更多相关图书推荐：https://www.jiaokey.com</w:t>
      </w:r>
    </w:p>
    <w:p>
      <w:r>
        <w:t>（苏）斯特利甘诺夫（А.Р.Стриганов）著；王傅珏，徐世秋译 其他作品：https://www.jiaokey.com/tag/（苏）斯特利甘诺夫（А.Р.Стриганов）著；王傅珏，徐世秋译.html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关键词搜索：https://www.jiaokey.com/tag/同位素的光谱分析.html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