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催化剂在使用过程中活性的变化</w:t>
      </w:r>
    </w:p>
    <w:p>
      <w:r>
        <w:rPr>
          <w:rFonts w:ascii="宋体" w:hAnsi="宋体" w:eastAsia="宋体"/>
          <w:sz w:val="24"/>
        </w:rPr>
        <w:t>（苏）萨马霍夫（Самахов，А.А）等著；陆常德译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催化剂在使用过程中活性的变化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（苏）萨马霍夫（Самахов，А.А）等著；陆常德译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本书出售、求购地址：https://www.jiaokey.com/book/detail/10525755.html</w:t>
      </w:r>
    </w:p>
    <w:p>
      <w:r>
        <w:t>更多相关图书推荐：https://www.jiaokey.com</w:t>
      </w:r>
    </w:p>
    <w:p>
      <w:r>
        <w:t>（苏）萨马霍夫（Самахов，А.А）等著；陆常德译 其他作品：https://www.jiaokey.com/tag/（苏）萨马霍夫（Самахов，А.А）等著；陆常德译.html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关键词搜索：https://www.jiaokey.com/tag/催化剂在使用过程中活性的变化.html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