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全国银行年鉴  1935  第12章  钱庄与银号</w:t>
      </w:r>
    </w:p>
    <w:p>
      <w:r>
        <w:rPr>
          <w:rFonts w:ascii="宋体" w:hAnsi="宋体" w:eastAsia="宋体"/>
          <w:sz w:val="24"/>
        </w:rPr>
        <w:t>中国银行总管理处经济研究室编辑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全国银行年鉴  1935  第12章  钱庄与银号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中国银行总管理处经济研究室编辑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中国银行总管理处经济研究室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本书出售、求购地址：https://www.jiaokey.com/book/detail/10524845.html</w:t>
      </w:r>
    </w:p>
    <w:p>
      <w:r>
        <w:t>更多相关图书推荐：https://www.jiaokey.com</w:t>
      </w:r>
    </w:p>
    <w:p>
      <w:r>
        <w:t>中国银行总管理处经济研究室编辑 其他作品：https://www.jiaokey.com/tag/中国银行总管理处经济研究室编辑.html</w:t>
      </w:r>
    </w:p>
    <w:p>
      <w:r>
        <w:t>中国银行总管理处经济研究室 出版图书：https://www.jiaokey.com/tag/中国银行总管理处经济研究室.html</w:t>
      </w:r>
    </w:p>
    <w:p>
      <w:r>
        <w:t>关键词搜索：https://www.jiaokey.com/tag/全国银行年鉴  1935  第12章  钱庄与银号.html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