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中华民国外交关系之演变  （一九七二～一九九二）</w:t>
      </w:r>
    </w:p>
    <w:p>
      <w:r>
        <w:rPr>
          <w:rFonts w:ascii="宋体" w:hAnsi="宋体" w:eastAsia="宋体"/>
          <w:sz w:val="24"/>
        </w:rPr>
        <w:t>高朗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中华民国外交关系之演变  （一九七二～一九九二）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本书出售、求购地址：https://www.jiaokey.com/book/detail/10523734.html</w:t>
      </w:r>
    </w:p>
    <w:p>
      <w:r>
        <w:t>更多相关图书推荐：https://www.jiaokey.com</w:t>
      </w:r>
    </w:p>
    <w:p>
      <w:r>
        <w:t>高朗 其他作品：https://www.jiaokey.com/tag/高朗.html</w:t>
      </w:r>
    </w:p>
    <w:p>
      <w:r>
        <w:t>关键词搜索：https://www.jiaokey.com/tag/中华民国外交关系之演变  （一九七二～一九九二）.html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