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印度国大党  一党民主制的动力</w:t>
      </w:r>
    </w:p>
    <w:p>
      <w:r>
        <w:rPr>
          <w:rFonts w:ascii="宋体" w:hAnsi="宋体" w:eastAsia="宋体"/>
          <w:sz w:val="24"/>
        </w:rPr>
        <w:t>（美）斯坦利·A·科查内克著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印度国大党  一党民主制的动力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（美）斯坦利·A·科查内克著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本书出售、求购地址：https://www.jiaokey.com/book/detail/10522189.html</w:t>
      </w:r>
    </w:p>
    <w:p>
      <w:r>
        <w:t>更多相关图书推荐：https://www.jiaokey.com</w:t>
      </w:r>
    </w:p>
    <w:p>
      <w:r>
        <w:t>（美）斯坦利·A·科查内克著 其他作品：https://www.jiaokey.com/tag/（美）斯坦利·A·科查内克著.html</w:t>
      </w:r>
    </w:p>
    <w:p>
      <w:r>
        <w:t>关键词搜索：https://www.jiaokey.com/tag/印度国大党  一党民主制的动力.html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